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85306" w14:textId="77777777" w:rsidR="00F53795" w:rsidRDefault="00FA4901">
      <w:pPr>
        <w:pStyle w:val="BodyText"/>
        <w:ind w:left="120"/>
        <w:rPr>
          <w:rFonts w:ascii="Times New Roman"/>
          <w:sz w:val="20"/>
        </w:rPr>
      </w:pPr>
      <w:r>
        <w:rPr>
          <w:rFonts w:ascii="Times New Roman"/>
          <w:noProof/>
          <w:sz w:val="20"/>
        </w:rPr>
        <w:drawing>
          <wp:inline distT="0" distB="0" distL="0" distR="0" wp14:anchorId="03786D1B" wp14:editId="3DFE5882">
            <wp:extent cx="1041229" cy="8503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41229" cy="850392"/>
                    </a:xfrm>
                    <a:prstGeom prst="rect">
                      <a:avLst/>
                    </a:prstGeom>
                  </pic:spPr>
                </pic:pic>
              </a:graphicData>
            </a:graphic>
          </wp:inline>
        </w:drawing>
      </w:r>
    </w:p>
    <w:p w14:paraId="62C609DC" w14:textId="77777777" w:rsidR="00F53795" w:rsidRDefault="00F53795">
      <w:pPr>
        <w:pStyle w:val="BodyText"/>
        <w:spacing w:before="7"/>
        <w:rPr>
          <w:rFonts w:ascii="Times New Roman"/>
          <w:sz w:val="24"/>
        </w:rPr>
      </w:pPr>
    </w:p>
    <w:p w14:paraId="6275205A" w14:textId="77777777" w:rsidR="00F53795" w:rsidRDefault="00FA4901">
      <w:pPr>
        <w:pStyle w:val="Heading1"/>
        <w:spacing w:before="44"/>
        <w:ind w:left="3172"/>
      </w:pPr>
      <w:r>
        <w:t>Formal Review of Academic Progress:</w:t>
      </w:r>
    </w:p>
    <w:p w14:paraId="4266F7F5" w14:textId="77777777" w:rsidR="00F53795" w:rsidRDefault="00FA4901">
      <w:pPr>
        <w:spacing w:line="341" w:lineRule="exact"/>
        <w:ind w:left="897"/>
        <w:rPr>
          <w:b/>
          <w:sz w:val="28"/>
        </w:rPr>
      </w:pPr>
      <w:r>
        <w:rPr>
          <w:b/>
          <w:sz w:val="28"/>
        </w:rPr>
        <w:t>A resource to support students navigate and prepare for the appeals process</w:t>
      </w:r>
    </w:p>
    <w:p w14:paraId="034354FD" w14:textId="77777777" w:rsidR="00F53795" w:rsidRDefault="00FA4901">
      <w:pPr>
        <w:pStyle w:val="Heading2"/>
        <w:spacing w:before="245" w:line="268" w:lineRule="exact"/>
      </w:pPr>
      <w:r>
        <w:t>PREPARING AN APPEAL</w:t>
      </w:r>
    </w:p>
    <w:p w14:paraId="49201F5D" w14:textId="77777777" w:rsidR="00F53795" w:rsidRDefault="00FA4901">
      <w:pPr>
        <w:pStyle w:val="BodyText"/>
        <w:ind w:left="120" w:right="113"/>
        <w:jc w:val="both"/>
      </w:pPr>
      <w:r>
        <w:t>An appeal should be explicit and address the points raised by the Academic Unit for unsatisfactory progress and recommendation for suspension. Your appeal should explain why you believe you are making satisfactory progress, and how; or if not, explain why your progress has been impacted, and what you are doing to resolve the matter.</w:t>
      </w:r>
    </w:p>
    <w:p w14:paraId="70600821" w14:textId="77777777" w:rsidR="00F53795" w:rsidRDefault="00F53795">
      <w:pPr>
        <w:pStyle w:val="BodyText"/>
      </w:pPr>
    </w:p>
    <w:p w14:paraId="2F24C690" w14:textId="77777777" w:rsidR="00F53795" w:rsidRDefault="00FA4901">
      <w:pPr>
        <w:pStyle w:val="BodyText"/>
        <w:ind w:left="120" w:right="117"/>
        <w:jc w:val="both"/>
      </w:pPr>
      <w:r>
        <w:t>The reasons for unsatisfactory progress will be outlined in the Academic Unit’s formal correspondence to you. The reasons</w:t>
      </w:r>
      <w:r>
        <w:rPr>
          <w:spacing w:val="-4"/>
        </w:rPr>
        <w:t xml:space="preserve"> </w:t>
      </w:r>
      <w:r>
        <w:t>for</w:t>
      </w:r>
      <w:r>
        <w:rPr>
          <w:spacing w:val="-3"/>
        </w:rPr>
        <w:t xml:space="preserve"> </w:t>
      </w:r>
      <w:r>
        <w:t>unsatisfactory</w:t>
      </w:r>
      <w:r>
        <w:rPr>
          <w:spacing w:val="-6"/>
        </w:rPr>
        <w:t xml:space="preserve"> </w:t>
      </w:r>
      <w:r>
        <w:t>progress</w:t>
      </w:r>
      <w:r>
        <w:rPr>
          <w:spacing w:val="-4"/>
        </w:rPr>
        <w:t xml:space="preserve"> </w:t>
      </w:r>
      <w:r>
        <w:t>must</w:t>
      </w:r>
      <w:r>
        <w:rPr>
          <w:spacing w:val="-2"/>
        </w:rPr>
        <w:t xml:space="preserve"> </w:t>
      </w:r>
      <w:r>
        <w:t>align</w:t>
      </w:r>
      <w:r>
        <w:rPr>
          <w:spacing w:val="-5"/>
        </w:rPr>
        <w:t xml:space="preserve"> </w:t>
      </w:r>
      <w:r>
        <w:t>with</w:t>
      </w:r>
      <w:r>
        <w:rPr>
          <w:spacing w:val="-5"/>
        </w:rPr>
        <w:t xml:space="preserve"> </w:t>
      </w:r>
      <w:r>
        <w:t>the</w:t>
      </w:r>
      <w:r>
        <w:rPr>
          <w:spacing w:val="-2"/>
        </w:rPr>
        <w:t xml:space="preserve"> </w:t>
      </w:r>
      <w:r>
        <w:t>Academic</w:t>
      </w:r>
      <w:r>
        <w:rPr>
          <w:spacing w:val="-4"/>
        </w:rPr>
        <w:t xml:space="preserve"> </w:t>
      </w:r>
      <w:r>
        <w:t>Regulations</w:t>
      </w:r>
      <w:r>
        <w:rPr>
          <w:spacing w:val="-4"/>
        </w:rPr>
        <w:t xml:space="preserve"> </w:t>
      </w:r>
      <w:r>
        <w:t>for</w:t>
      </w:r>
      <w:r>
        <w:rPr>
          <w:spacing w:val="-4"/>
        </w:rPr>
        <w:t xml:space="preserve"> </w:t>
      </w:r>
      <w:r>
        <w:t>Higher</w:t>
      </w:r>
      <w:r>
        <w:rPr>
          <w:spacing w:val="-4"/>
        </w:rPr>
        <w:t xml:space="preserve"> </w:t>
      </w:r>
      <w:r>
        <w:t>Degrees</w:t>
      </w:r>
      <w:r>
        <w:rPr>
          <w:spacing w:val="-3"/>
        </w:rPr>
        <w:t xml:space="preserve"> </w:t>
      </w:r>
      <w:r>
        <w:t>by</w:t>
      </w:r>
      <w:r>
        <w:rPr>
          <w:spacing w:val="-3"/>
        </w:rPr>
        <w:t xml:space="preserve"> </w:t>
      </w:r>
      <w:r>
        <w:t>Research,</w:t>
      </w:r>
      <w:r>
        <w:rPr>
          <w:spacing w:val="-3"/>
        </w:rPr>
        <w:t xml:space="preserve"> </w:t>
      </w:r>
      <w:r>
        <w:t>Clause 9,</w:t>
      </w:r>
      <w:r>
        <w:rPr>
          <w:spacing w:val="-2"/>
        </w:rPr>
        <w:t xml:space="preserve"> </w:t>
      </w:r>
      <w:hyperlink r:id="rId6" w:anchor="9">
        <w:r>
          <w:rPr>
            <w:color w:val="0000FF"/>
            <w:u w:val="single" w:color="0000FF"/>
          </w:rPr>
          <w:t>https://i.unisa.edu.au/policies-and-procedures/university-policies/research/res-10-regulations/#9.</w:t>
        </w:r>
      </w:hyperlink>
    </w:p>
    <w:p w14:paraId="30E23D6F" w14:textId="77777777" w:rsidR="00F53795" w:rsidRDefault="00F53795">
      <w:pPr>
        <w:pStyle w:val="BodyText"/>
        <w:spacing w:before="6"/>
        <w:rPr>
          <w:sz w:val="17"/>
        </w:rPr>
      </w:pPr>
    </w:p>
    <w:p w14:paraId="725B8ADC" w14:textId="77777777" w:rsidR="00F53795" w:rsidRDefault="00FA4901">
      <w:pPr>
        <w:pStyle w:val="BodyText"/>
        <w:spacing w:before="56"/>
        <w:ind w:left="120" w:right="30"/>
      </w:pPr>
      <w:r>
        <w:t>USASA</w:t>
      </w:r>
      <w:r>
        <w:rPr>
          <w:spacing w:val="-13"/>
        </w:rPr>
        <w:t xml:space="preserve"> </w:t>
      </w:r>
      <w:r>
        <w:t>Advocates</w:t>
      </w:r>
      <w:r>
        <w:rPr>
          <w:spacing w:val="-15"/>
        </w:rPr>
        <w:t xml:space="preserve"> </w:t>
      </w:r>
      <w:r>
        <w:t>are</w:t>
      </w:r>
      <w:r>
        <w:rPr>
          <w:spacing w:val="-14"/>
        </w:rPr>
        <w:t xml:space="preserve"> </w:t>
      </w:r>
      <w:r>
        <w:t>experts</w:t>
      </w:r>
      <w:r>
        <w:rPr>
          <w:spacing w:val="-12"/>
        </w:rPr>
        <w:t xml:space="preserve"> </w:t>
      </w:r>
      <w:r>
        <w:t>in</w:t>
      </w:r>
      <w:r>
        <w:rPr>
          <w:spacing w:val="-13"/>
        </w:rPr>
        <w:t xml:space="preserve"> </w:t>
      </w:r>
      <w:r>
        <w:t>the</w:t>
      </w:r>
      <w:r>
        <w:rPr>
          <w:spacing w:val="-12"/>
        </w:rPr>
        <w:t xml:space="preserve"> </w:t>
      </w:r>
      <w:r>
        <w:t>University’s</w:t>
      </w:r>
      <w:r>
        <w:rPr>
          <w:spacing w:val="-15"/>
        </w:rPr>
        <w:t xml:space="preserve"> </w:t>
      </w:r>
      <w:r>
        <w:t>academic</w:t>
      </w:r>
      <w:r>
        <w:rPr>
          <w:spacing w:val="-12"/>
        </w:rPr>
        <w:t xml:space="preserve"> </w:t>
      </w:r>
      <w:r>
        <w:t>policies</w:t>
      </w:r>
      <w:r>
        <w:rPr>
          <w:spacing w:val="-15"/>
        </w:rPr>
        <w:t xml:space="preserve"> </w:t>
      </w:r>
      <w:r>
        <w:t>and</w:t>
      </w:r>
      <w:r>
        <w:rPr>
          <w:spacing w:val="-13"/>
        </w:rPr>
        <w:t xml:space="preserve"> </w:t>
      </w:r>
      <w:r>
        <w:t>procedures,</w:t>
      </w:r>
      <w:r>
        <w:rPr>
          <w:spacing w:val="-12"/>
        </w:rPr>
        <w:t xml:space="preserve"> </w:t>
      </w:r>
      <w:r>
        <w:t>and</w:t>
      </w:r>
      <w:r>
        <w:rPr>
          <w:spacing w:val="-13"/>
        </w:rPr>
        <w:t xml:space="preserve"> </w:t>
      </w:r>
      <w:r>
        <w:t>offer</w:t>
      </w:r>
      <w:r>
        <w:rPr>
          <w:spacing w:val="-12"/>
        </w:rPr>
        <w:t xml:space="preserve"> </w:t>
      </w:r>
      <w:r>
        <w:t>free,</w:t>
      </w:r>
      <w:r>
        <w:rPr>
          <w:spacing w:val="-15"/>
        </w:rPr>
        <w:t xml:space="preserve"> </w:t>
      </w:r>
      <w:r>
        <w:t>confidential</w:t>
      </w:r>
      <w:r>
        <w:rPr>
          <w:spacing w:val="-13"/>
        </w:rPr>
        <w:t xml:space="preserve"> </w:t>
      </w:r>
      <w:r>
        <w:t xml:space="preserve">support to students. For more information, or to </w:t>
      </w:r>
      <w:proofErr w:type="spellStart"/>
      <w:r>
        <w:t>organise</w:t>
      </w:r>
      <w:proofErr w:type="spellEnd"/>
      <w:r>
        <w:t xml:space="preserve"> an appointment, visit</w:t>
      </w:r>
      <w:r>
        <w:rPr>
          <w:spacing w:val="-17"/>
        </w:rPr>
        <w:t xml:space="preserve"> </w:t>
      </w:r>
      <w:hyperlink r:id="rId7">
        <w:r>
          <w:rPr>
            <w:color w:val="0000FF"/>
            <w:u w:val="single" w:color="0000FF"/>
          </w:rPr>
          <w:t>https://usasa.sa.edu.au/advocacy</w:t>
        </w:r>
        <w:r>
          <w:t>.</w:t>
        </w:r>
      </w:hyperlink>
    </w:p>
    <w:p w14:paraId="3CEB1B53" w14:textId="77777777" w:rsidR="00F53795" w:rsidRDefault="00F53795">
      <w:pPr>
        <w:pStyle w:val="BodyText"/>
        <w:spacing w:before="3"/>
        <w:rPr>
          <w:sz w:val="17"/>
        </w:rPr>
      </w:pPr>
    </w:p>
    <w:p w14:paraId="22840D4E" w14:textId="77777777" w:rsidR="00F53795" w:rsidRDefault="00FA4901">
      <w:pPr>
        <w:pStyle w:val="Heading2"/>
        <w:spacing w:before="57"/>
      </w:pPr>
      <w:r>
        <w:t>REPRESENTATION</w:t>
      </w:r>
    </w:p>
    <w:p w14:paraId="3EFF2E1F" w14:textId="77777777" w:rsidR="00F53795" w:rsidRDefault="00FA4901">
      <w:pPr>
        <w:pStyle w:val="BodyText"/>
        <w:ind w:left="120"/>
      </w:pPr>
      <w:r>
        <w:t>Students</w:t>
      </w:r>
      <w:r>
        <w:rPr>
          <w:spacing w:val="-7"/>
        </w:rPr>
        <w:t xml:space="preserve"> </w:t>
      </w:r>
      <w:r>
        <w:t>are</w:t>
      </w:r>
      <w:r>
        <w:rPr>
          <w:spacing w:val="-6"/>
        </w:rPr>
        <w:t xml:space="preserve"> </w:t>
      </w:r>
      <w:r>
        <w:t>invited</w:t>
      </w:r>
      <w:r>
        <w:rPr>
          <w:spacing w:val="-10"/>
        </w:rPr>
        <w:t xml:space="preserve"> </w:t>
      </w:r>
      <w:r>
        <w:t>to</w:t>
      </w:r>
      <w:r>
        <w:rPr>
          <w:spacing w:val="-8"/>
        </w:rPr>
        <w:t xml:space="preserve"> </w:t>
      </w:r>
      <w:r>
        <w:t>attend</w:t>
      </w:r>
      <w:r>
        <w:rPr>
          <w:spacing w:val="-7"/>
        </w:rPr>
        <w:t xml:space="preserve"> </w:t>
      </w:r>
      <w:r>
        <w:t>the</w:t>
      </w:r>
      <w:r>
        <w:rPr>
          <w:spacing w:val="-6"/>
        </w:rPr>
        <w:t xml:space="preserve"> </w:t>
      </w:r>
      <w:r>
        <w:t>Formal</w:t>
      </w:r>
      <w:r>
        <w:rPr>
          <w:spacing w:val="-7"/>
        </w:rPr>
        <w:t xml:space="preserve"> </w:t>
      </w:r>
      <w:r>
        <w:t>Review</w:t>
      </w:r>
      <w:r>
        <w:rPr>
          <w:spacing w:val="-8"/>
        </w:rPr>
        <w:t xml:space="preserve"> </w:t>
      </w:r>
      <w:r>
        <w:t>of</w:t>
      </w:r>
      <w:r>
        <w:rPr>
          <w:spacing w:val="-9"/>
        </w:rPr>
        <w:t xml:space="preserve"> </w:t>
      </w:r>
      <w:r>
        <w:t>Academic</w:t>
      </w:r>
      <w:r>
        <w:rPr>
          <w:spacing w:val="-9"/>
        </w:rPr>
        <w:t xml:space="preserve"> </w:t>
      </w:r>
      <w:r>
        <w:t>Progress</w:t>
      </w:r>
      <w:r>
        <w:rPr>
          <w:spacing w:val="-9"/>
        </w:rPr>
        <w:t xml:space="preserve"> </w:t>
      </w:r>
      <w:r>
        <w:t>Panel</w:t>
      </w:r>
      <w:r>
        <w:rPr>
          <w:spacing w:val="-9"/>
        </w:rPr>
        <w:t xml:space="preserve"> </w:t>
      </w:r>
      <w:r>
        <w:t>meeting</w:t>
      </w:r>
      <w:r>
        <w:rPr>
          <w:spacing w:val="-7"/>
        </w:rPr>
        <w:t xml:space="preserve"> </w:t>
      </w:r>
      <w:r>
        <w:t>to</w:t>
      </w:r>
      <w:r>
        <w:rPr>
          <w:spacing w:val="-8"/>
        </w:rPr>
        <w:t xml:space="preserve"> </w:t>
      </w:r>
      <w:r>
        <w:t>present</w:t>
      </w:r>
      <w:r>
        <w:rPr>
          <w:spacing w:val="-9"/>
        </w:rPr>
        <w:t xml:space="preserve"> </w:t>
      </w:r>
      <w:r>
        <w:t>their</w:t>
      </w:r>
      <w:r>
        <w:rPr>
          <w:spacing w:val="-9"/>
        </w:rPr>
        <w:t xml:space="preserve"> </w:t>
      </w:r>
      <w:r>
        <w:t>case.</w:t>
      </w:r>
      <w:r>
        <w:rPr>
          <w:spacing w:val="-9"/>
        </w:rPr>
        <w:t xml:space="preserve"> </w:t>
      </w:r>
      <w:r>
        <w:t>They</w:t>
      </w:r>
      <w:r>
        <w:rPr>
          <w:spacing w:val="-8"/>
        </w:rPr>
        <w:t xml:space="preserve"> </w:t>
      </w:r>
      <w:r>
        <w:t>may be assisted, or represented, at the meeting</w:t>
      </w:r>
      <w:r>
        <w:rPr>
          <w:spacing w:val="-4"/>
        </w:rPr>
        <w:t xml:space="preserve"> </w:t>
      </w:r>
      <w:r>
        <w:t>by:</w:t>
      </w:r>
    </w:p>
    <w:p w14:paraId="5E992B5C" w14:textId="77777777" w:rsidR="00F53795" w:rsidRDefault="00FA4901">
      <w:pPr>
        <w:pStyle w:val="ListParagraph"/>
        <w:numPr>
          <w:ilvl w:val="0"/>
          <w:numId w:val="2"/>
        </w:numPr>
        <w:tabs>
          <w:tab w:val="left" w:pos="832"/>
          <w:tab w:val="left" w:pos="833"/>
        </w:tabs>
        <w:spacing w:before="121"/>
        <w:ind w:hanging="355"/>
      </w:pPr>
      <w:r>
        <w:t>a representative of</w:t>
      </w:r>
      <w:r>
        <w:rPr>
          <w:color w:val="00529F"/>
        </w:rPr>
        <w:t xml:space="preserve"> </w:t>
      </w:r>
      <w:hyperlink r:id="rId8">
        <w:r>
          <w:rPr>
            <w:color w:val="00529F"/>
            <w:u w:val="single" w:color="00529F"/>
          </w:rPr>
          <w:t>USASA</w:t>
        </w:r>
        <w:r>
          <w:rPr>
            <w:color w:val="666666"/>
          </w:rPr>
          <w:t>,</w:t>
        </w:r>
        <w:r>
          <w:rPr>
            <w:color w:val="666666"/>
            <w:spacing w:val="-12"/>
          </w:rPr>
          <w:t xml:space="preserve"> </w:t>
        </w:r>
      </w:hyperlink>
      <w:r>
        <w:t>or</w:t>
      </w:r>
    </w:p>
    <w:p w14:paraId="352148EE" w14:textId="77777777" w:rsidR="00F53795" w:rsidRDefault="00FA4901">
      <w:pPr>
        <w:pStyle w:val="ListParagraph"/>
        <w:numPr>
          <w:ilvl w:val="0"/>
          <w:numId w:val="2"/>
        </w:numPr>
        <w:tabs>
          <w:tab w:val="left" w:pos="832"/>
          <w:tab w:val="left" w:pos="833"/>
        </w:tabs>
        <w:ind w:hanging="355"/>
      </w:pPr>
      <w:r>
        <w:t>any staff member or student of the</w:t>
      </w:r>
      <w:r>
        <w:rPr>
          <w:spacing w:val="-4"/>
        </w:rPr>
        <w:t xml:space="preserve"> </w:t>
      </w:r>
      <w:r>
        <w:t>University.</w:t>
      </w:r>
    </w:p>
    <w:p w14:paraId="58F7AA80" w14:textId="77777777" w:rsidR="00F53795" w:rsidRDefault="00F53795">
      <w:pPr>
        <w:pStyle w:val="BodyText"/>
        <w:spacing w:before="10"/>
        <w:rPr>
          <w:sz w:val="21"/>
        </w:rPr>
      </w:pPr>
    </w:p>
    <w:p w14:paraId="3054DAC0" w14:textId="77777777" w:rsidR="00F53795" w:rsidRDefault="00FA4901">
      <w:pPr>
        <w:pStyle w:val="BodyText"/>
        <w:ind w:left="119"/>
      </w:pPr>
      <w:r>
        <w:t>This person is not a member of the Panel.</w:t>
      </w:r>
    </w:p>
    <w:p w14:paraId="4258C0F5" w14:textId="77777777" w:rsidR="00F53795" w:rsidRDefault="00F53795">
      <w:pPr>
        <w:pStyle w:val="BodyText"/>
        <w:spacing w:before="1"/>
      </w:pPr>
    </w:p>
    <w:p w14:paraId="61EF3C3C" w14:textId="10F69A70" w:rsidR="00F53795" w:rsidRDefault="00FA4901">
      <w:pPr>
        <w:pStyle w:val="BodyText"/>
        <w:ind w:left="119" w:right="115"/>
        <w:jc w:val="both"/>
      </w:pPr>
      <w:r>
        <w:t xml:space="preserve">The Panel Executive Officer should be advised within 10 working days of the meeting if a representative or support person will attend. The person’s name and email – if they will represent the student at the meeting – should be provided to </w:t>
      </w:r>
      <w:hyperlink r:id="rId9" w:history="1">
        <w:r w:rsidR="00A83FA7" w:rsidRPr="00B805DC">
          <w:rPr>
            <w:rStyle w:val="Hyperlink"/>
          </w:rPr>
          <w:t xml:space="preserve">research.students@unisa.edu.au, </w:t>
        </w:r>
      </w:hyperlink>
      <w:r>
        <w:t>Panel Executive Officer.</w:t>
      </w:r>
    </w:p>
    <w:p w14:paraId="31E6C3B5" w14:textId="77777777" w:rsidR="00F53795" w:rsidRDefault="00F53795">
      <w:pPr>
        <w:pStyle w:val="BodyText"/>
        <w:spacing w:before="6"/>
        <w:rPr>
          <w:sz w:val="17"/>
        </w:rPr>
      </w:pPr>
    </w:p>
    <w:p w14:paraId="7CEEBE88" w14:textId="77777777" w:rsidR="00F53795" w:rsidRDefault="00FA4901">
      <w:pPr>
        <w:pStyle w:val="Heading2"/>
        <w:spacing w:before="56"/>
        <w:jc w:val="both"/>
      </w:pPr>
      <w:r>
        <w:t>MEETING PROCEEDINGS</w:t>
      </w:r>
    </w:p>
    <w:p w14:paraId="6E10680E" w14:textId="77777777" w:rsidR="00F53795" w:rsidRDefault="00FA4901">
      <w:pPr>
        <w:pStyle w:val="BodyText"/>
        <w:ind w:left="119"/>
        <w:jc w:val="both"/>
      </w:pPr>
      <w:r>
        <w:t>The Formal Review of Academic Progress Panel meeting will follow a general format:</w:t>
      </w:r>
    </w:p>
    <w:p w14:paraId="0674DCA6" w14:textId="77777777" w:rsidR="00F53795" w:rsidRDefault="00F53795">
      <w:pPr>
        <w:pStyle w:val="BodyText"/>
      </w:pPr>
    </w:p>
    <w:p w14:paraId="4C416DA6" w14:textId="77777777" w:rsidR="00F53795" w:rsidRDefault="00FA4901">
      <w:pPr>
        <w:pStyle w:val="ListParagraph"/>
        <w:numPr>
          <w:ilvl w:val="0"/>
          <w:numId w:val="1"/>
        </w:numPr>
        <w:tabs>
          <w:tab w:val="left" w:pos="841"/>
        </w:tabs>
        <w:spacing w:line="268" w:lineRule="exact"/>
      </w:pPr>
      <w:r>
        <w:t>Introductions</w:t>
      </w:r>
    </w:p>
    <w:p w14:paraId="05184CA1" w14:textId="77777777" w:rsidR="00F53795" w:rsidRDefault="00FA4901">
      <w:pPr>
        <w:pStyle w:val="ListParagraph"/>
        <w:numPr>
          <w:ilvl w:val="0"/>
          <w:numId w:val="1"/>
        </w:numPr>
        <w:tabs>
          <w:tab w:val="left" w:pos="841"/>
        </w:tabs>
        <w:spacing w:line="268" w:lineRule="exact"/>
        <w:ind w:hanging="360"/>
      </w:pPr>
      <w:r>
        <w:t>Formal Review of Academic Progress discussion, to include the student and Academic Unit</w:t>
      </w:r>
      <w:r>
        <w:rPr>
          <w:spacing w:val="-25"/>
        </w:rPr>
        <w:t xml:space="preserve"> </w:t>
      </w:r>
      <w:r>
        <w:t>representatives</w:t>
      </w:r>
    </w:p>
    <w:p w14:paraId="10406F5E" w14:textId="77777777" w:rsidR="00F53795" w:rsidRDefault="00FA4901">
      <w:pPr>
        <w:pStyle w:val="ListParagraph"/>
        <w:numPr>
          <w:ilvl w:val="0"/>
          <w:numId w:val="1"/>
        </w:numPr>
        <w:tabs>
          <w:tab w:val="left" w:pos="841"/>
        </w:tabs>
        <w:spacing w:before="1"/>
        <w:ind w:hanging="360"/>
      </w:pPr>
      <w:r>
        <w:t>Panel deliberation and</w:t>
      </w:r>
      <w:r>
        <w:rPr>
          <w:spacing w:val="-3"/>
        </w:rPr>
        <w:t xml:space="preserve"> </w:t>
      </w:r>
      <w:r>
        <w:t>decision.</w:t>
      </w:r>
    </w:p>
    <w:p w14:paraId="12FD2971" w14:textId="77777777" w:rsidR="00F53795" w:rsidRDefault="00F53795">
      <w:pPr>
        <w:pStyle w:val="BodyText"/>
      </w:pPr>
    </w:p>
    <w:p w14:paraId="152B81AF" w14:textId="2DD31C00" w:rsidR="00F53795" w:rsidRDefault="00FA4901">
      <w:pPr>
        <w:pStyle w:val="BodyText"/>
        <w:ind w:left="120" w:right="115"/>
        <w:jc w:val="both"/>
      </w:pPr>
      <w:r>
        <w:t xml:space="preserve">The student and/or their representative (if applicable), and the Academic Unit’s representative(s), will not be present for the Panel’s deliberations. Written notice of the Panel’s decision will be provided to all parties, within 10 working days, per </w:t>
      </w:r>
      <w:r w:rsidR="00A83FA7">
        <w:t>Procedure AB-58-P3 Research Degrees Student Progression</w:t>
      </w:r>
      <w:r>
        <w:t>.</w:t>
      </w:r>
    </w:p>
    <w:p w14:paraId="411AE1CD" w14:textId="77777777" w:rsidR="00F53795" w:rsidRDefault="00F53795">
      <w:pPr>
        <w:pStyle w:val="BodyText"/>
      </w:pPr>
    </w:p>
    <w:p w14:paraId="3F555D66" w14:textId="77777777" w:rsidR="00F53795" w:rsidRDefault="00FA4901">
      <w:pPr>
        <w:pStyle w:val="Heading2"/>
        <w:ind w:left="119"/>
      </w:pPr>
      <w:r>
        <w:t>CONFIDENTIAL SUBMISSIONS</w:t>
      </w:r>
    </w:p>
    <w:p w14:paraId="48ECE96C" w14:textId="77777777" w:rsidR="00F53795" w:rsidRDefault="00FA4901">
      <w:pPr>
        <w:pStyle w:val="BodyText"/>
        <w:spacing w:before="1"/>
        <w:ind w:left="119"/>
      </w:pPr>
      <w:r>
        <w:t>You may provide information confidentially to the Formal Review of Academic Progress Panel. However, please be aware that any confidential information:</w:t>
      </w:r>
    </w:p>
    <w:p w14:paraId="43C3A622" w14:textId="77777777" w:rsidR="00F53795" w:rsidRDefault="00FA4901">
      <w:pPr>
        <w:pStyle w:val="ListParagraph"/>
        <w:numPr>
          <w:ilvl w:val="0"/>
          <w:numId w:val="2"/>
        </w:numPr>
        <w:tabs>
          <w:tab w:val="left" w:pos="832"/>
          <w:tab w:val="left" w:pos="833"/>
        </w:tabs>
        <w:spacing w:before="58"/>
        <w:ind w:hanging="355"/>
      </w:pPr>
      <w:r>
        <w:t>will be provided to each member of the</w:t>
      </w:r>
      <w:r>
        <w:rPr>
          <w:spacing w:val="-12"/>
        </w:rPr>
        <w:t xml:space="preserve"> </w:t>
      </w:r>
      <w:r>
        <w:t>Panel.</w:t>
      </w:r>
    </w:p>
    <w:p w14:paraId="43C92E48" w14:textId="1CE84E86" w:rsidR="00F53795" w:rsidRDefault="00FA4901">
      <w:pPr>
        <w:pStyle w:val="ListParagraph"/>
        <w:numPr>
          <w:ilvl w:val="0"/>
          <w:numId w:val="2"/>
        </w:numPr>
        <w:tabs>
          <w:tab w:val="left" w:pos="833"/>
        </w:tabs>
        <w:spacing w:before="60"/>
        <w:ind w:right="117" w:hanging="355"/>
        <w:jc w:val="both"/>
      </w:pPr>
      <w:r>
        <w:t>could form the basis for questions or requests for further information by Panel members to you, or the Academic</w:t>
      </w:r>
      <w:r>
        <w:rPr>
          <w:spacing w:val="-6"/>
        </w:rPr>
        <w:t xml:space="preserve"> </w:t>
      </w:r>
      <w:r>
        <w:t>Unit</w:t>
      </w:r>
      <w:r>
        <w:rPr>
          <w:spacing w:val="-6"/>
        </w:rPr>
        <w:t xml:space="preserve"> </w:t>
      </w:r>
      <w:r>
        <w:t>representatives</w:t>
      </w:r>
      <w:r>
        <w:rPr>
          <w:spacing w:val="-6"/>
        </w:rPr>
        <w:t xml:space="preserve"> </w:t>
      </w:r>
      <w:r>
        <w:t>at</w:t>
      </w:r>
      <w:r>
        <w:rPr>
          <w:spacing w:val="-6"/>
        </w:rPr>
        <w:t xml:space="preserve"> </w:t>
      </w:r>
      <w:r>
        <w:t>the</w:t>
      </w:r>
      <w:r>
        <w:rPr>
          <w:spacing w:val="-6"/>
        </w:rPr>
        <w:t xml:space="preserve"> </w:t>
      </w:r>
      <w:r>
        <w:t>meeting.</w:t>
      </w:r>
      <w:r>
        <w:rPr>
          <w:spacing w:val="-6"/>
        </w:rPr>
        <w:t xml:space="preserve"> </w:t>
      </w:r>
      <w:r>
        <w:t>This</w:t>
      </w:r>
      <w:r>
        <w:rPr>
          <w:spacing w:val="-7"/>
        </w:rPr>
        <w:t xml:space="preserve"> </w:t>
      </w:r>
      <w:r>
        <w:t>may</w:t>
      </w:r>
      <w:r>
        <w:rPr>
          <w:spacing w:val="-3"/>
        </w:rPr>
        <w:t xml:space="preserve"> </w:t>
      </w:r>
      <w:r>
        <w:t>include</w:t>
      </w:r>
      <w:r>
        <w:rPr>
          <w:spacing w:val="-6"/>
        </w:rPr>
        <w:t xml:space="preserve"> </w:t>
      </w:r>
      <w:r>
        <w:t>the</w:t>
      </w:r>
      <w:r>
        <w:rPr>
          <w:spacing w:val="-6"/>
        </w:rPr>
        <w:t xml:space="preserve"> </w:t>
      </w:r>
      <w:r>
        <w:t>Dean</w:t>
      </w:r>
      <w:r>
        <w:rPr>
          <w:spacing w:val="-7"/>
        </w:rPr>
        <w:t xml:space="preserve"> </w:t>
      </w:r>
      <w:r>
        <w:t>of</w:t>
      </w:r>
      <w:r>
        <w:rPr>
          <w:spacing w:val="-7"/>
        </w:rPr>
        <w:t xml:space="preserve"> </w:t>
      </w:r>
      <w:r>
        <w:t>Research</w:t>
      </w:r>
      <w:r>
        <w:rPr>
          <w:spacing w:val="-5"/>
        </w:rPr>
        <w:t xml:space="preserve"> </w:t>
      </w:r>
      <w:r>
        <w:t>(or</w:t>
      </w:r>
      <w:r>
        <w:rPr>
          <w:spacing w:val="-7"/>
        </w:rPr>
        <w:t xml:space="preserve"> </w:t>
      </w:r>
      <w:r>
        <w:t>delegate),</w:t>
      </w:r>
      <w:r>
        <w:rPr>
          <w:spacing w:val="-7"/>
        </w:rPr>
        <w:t xml:space="preserve"> </w:t>
      </w:r>
      <w:r>
        <w:t>Research</w:t>
      </w:r>
      <w:r w:rsidR="00A83FA7">
        <w:t xml:space="preserve"> Degree Coordinator (RDC)</w:t>
      </w:r>
      <w:r>
        <w:t>, and/or principal supervisor. This may lead to a disclosure of the confidential information.</w:t>
      </w:r>
    </w:p>
    <w:p w14:paraId="18016862" w14:textId="0FC7EC4E" w:rsidR="00F53795" w:rsidRDefault="00FA4901">
      <w:pPr>
        <w:pStyle w:val="ListParagraph"/>
        <w:numPr>
          <w:ilvl w:val="0"/>
          <w:numId w:val="2"/>
        </w:numPr>
        <w:tabs>
          <w:tab w:val="left" w:pos="832"/>
          <w:tab w:val="left" w:pos="833"/>
        </w:tabs>
        <w:spacing w:before="63" w:line="237" w:lineRule="auto"/>
        <w:ind w:right="121" w:hanging="355"/>
      </w:pPr>
      <w:r>
        <w:t>will</w:t>
      </w:r>
      <w:r>
        <w:rPr>
          <w:spacing w:val="-1"/>
        </w:rPr>
        <w:t xml:space="preserve"> </w:t>
      </w:r>
      <w:r>
        <w:t>be</w:t>
      </w:r>
      <w:r>
        <w:rPr>
          <w:spacing w:val="-3"/>
        </w:rPr>
        <w:t xml:space="preserve"> </w:t>
      </w:r>
      <w:r>
        <w:t>provided</w:t>
      </w:r>
      <w:r>
        <w:rPr>
          <w:spacing w:val="-4"/>
        </w:rPr>
        <w:t xml:space="preserve"> </w:t>
      </w:r>
      <w:r>
        <w:t>to</w:t>
      </w:r>
      <w:r>
        <w:rPr>
          <w:spacing w:val="-2"/>
        </w:rPr>
        <w:t xml:space="preserve"> </w:t>
      </w:r>
      <w:r>
        <w:t>the</w:t>
      </w:r>
      <w:r>
        <w:rPr>
          <w:spacing w:val="-3"/>
        </w:rPr>
        <w:t xml:space="preserve"> </w:t>
      </w:r>
      <w:r>
        <w:t>members</w:t>
      </w:r>
      <w:r>
        <w:rPr>
          <w:spacing w:val="-6"/>
        </w:rPr>
        <w:t xml:space="preserve"> </w:t>
      </w:r>
      <w:r>
        <w:t>of</w:t>
      </w:r>
      <w:r>
        <w:rPr>
          <w:spacing w:val="-3"/>
        </w:rPr>
        <w:t xml:space="preserve"> </w:t>
      </w:r>
      <w:r>
        <w:t>the Student</w:t>
      </w:r>
      <w:r>
        <w:rPr>
          <w:spacing w:val="-3"/>
        </w:rPr>
        <w:t xml:space="preserve"> </w:t>
      </w:r>
      <w:r>
        <w:t>Appeal</w:t>
      </w:r>
      <w:r>
        <w:rPr>
          <w:spacing w:val="-1"/>
        </w:rPr>
        <w:t xml:space="preserve"> </w:t>
      </w:r>
      <w:r>
        <w:t>Committee</w:t>
      </w:r>
      <w:r>
        <w:rPr>
          <w:spacing w:val="-3"/>
        </w:rPr>
        <w:t xml:space="preserve"> </w:t>
      </w:r>
      <w:r w:rsidR="00A83FA7">
        <w:t>if</w:t>
      </w:r>
      <w:r>
        <w:t xml:space="preserve"> a</w:t>
      </w:r>
      <w:r>
        <w:rPr>
          <w:spacing w:val="-3"/>
        </w:rPr>
        <w:t xml:space="preserve"> </w:t>
      </w:r>
      <w:r>
        <w:t>decision</w:t>
      </w:r>
      <w:r>
        <w:rPr>
          <w:spacing w:val="-4"/>
        </w:rPr>
        <w:t xml:space="preserve"> </w:t>
      </w:r>
      <w:r>
        <w:t>of</w:t>
      </w:r>
      <w:r>
        <w:rPr>
          <w:spacing w:val="-3"/>
        </w:rPr>
        <w:t xml:space="preserve"> </w:t>
      </w:r>
      <w:r>
        <w:t>the</w:t>
      </w:r>
      <w:r>
        <w:rPr>
          <w:spacing w:val="-5"/>
        </w:rPr>
        <w:t xml:space="preserve"> </w:t>
      </w:r>
      <w:r>
        <w:t>Panel</w:t>
      </w:r>
      <w:r>
        <w:rPr>
          <w:spacing w:val="-4"/>
        </w:rPr>
        <w:t xml:space="preserve"> </w:t>
      </w:r>
      <w:r>
        <w:t xml:space="preserve">is appealed under </w:t>
      </w:r>
      <w:r w:rsidR="00A83FA7">
        <w:t>Procedure AB-58-P3 Research Degrees Student Progression</w:t>
      </w:r>
      <w:r>
        <w:t>.</w:t>
      </w:r>
    </w:p>
    <w:p w14:paraId="090E447B" w14:textId="77777777" w:rsidR="00F53795" w:rsidRDefault="00F53795">
      <w:pPr>
        <w:spacing w:line="237" w:lineRule="auto"/>
        <w:sectPr w:rsidR="00F53795">
          <w:type w:val="continuous"/>
          <w:pgSz w:w="11910" w:h="16840"/>
          <w:pgMar w:top="700" w:right="600" w:bottom="280" w:left="600" w:header="720" w:footer="720" w:gutter="0"/>
          <w:cols w:space="720"/>
        </w:sectPr>
      </w:pPr>
    </w:p>
    <w:p w14:paraId="0365E41A" w14:textId="77777777" w:rsidR="00F53795" w:rsidRDefault="00FA4901">
      <w:pPr>
        <w:pStyle w:val="Heading2"/>
        <w:spacing w:before="26"/>
      </w:pPr>
      <w:r>
        <w:lastRenderedPageBreak/>
        <w:t>CONFIDENTIALITY OF APPEAL RECORDS</w:t>
      </w:r>
    </w:p>
    <w:p w14:paraId="76EC5C82" w14:textId="77777777" w:rsidR="00F53795" w:rsidRDefault="00FA4901">
      <w:pPr>
        <w:pStyle w:val="BodyText"/>
        <w:ind w:left="120" w:right="113" w:hanging="1"/>
        <w:jc w:val="both"/>
      </w:pPr>
      <w:r>
        <w:t>All</w:t>
      </w:r>
      <w:r>
        <w:rPr>
          <w:spacing w:val="-7"/>
        </w:rPr>
        <w:t xml:space="preserve"> </w:t>
      </w:r>
      <w:r>
        <w:t>records</w:t>
      </w:r>
      <w:r>
        <w:rPr>
          <w:spacing w:val="-6"/>
        </w:rPr>
        <w:t xml:space="preserve"> </w:t>
      </w:r>
      <w:r>
        <w:t>held</w:t>
      </w:r>
      <w:r>
        <w:rPr>
          <w:spacing w:val="-7"/>
        </w:rPr>
        <w:t xml:space="preserve"> </w:t>
      </w:r>
      <w:r>
        <w:t>in</w:t>
      </w:r>
      <w:r>
        <w:rPr>
          <w:spacing w:val="-7"/>
        </w:rPr>
        <w:t xml:space="preserve"> </w:t>
      </w:r>
      <w:r>
        <w:t>relation</w:t>
      </w:r>
      <w:r>
        <w:rPr>
          <w:spacing w:val="-7"/>
        </w:rPr>
        <w:t xml:space="preserve"> </w:t>
      </w:r>
      <w:r>
        <w:t>to</w:t>
      </w:r>
      <w:r>
        <w:rPr>
          <w:spacing w:val="-5"/>
        </w:rPr>
        <w:t xml:space="preserve"> </w:t>
      </w:r>
      <w:r>
        <w:t>the</w:t>
      </w:r>
      <w:r>
        <w:rPr>
          <w:spacing w:val="-6"/>
        </w:rPr>
        <w:t xml:space="preserve"> </w:t>
      </w:r>
      <w:r>
        <w:t>Formal</w:t>
      </w:r>
      <w:r>
        <w:rPr>
          <w:spacing w:val="-7"/>
        </w:rPr>
        <w:t xml:space="preserve"> </w:t>
      </w:r>
      <w:r>
        <w:t>Review</w:t>
      </w:r>
      <w:r>
        <w:rPr>
          <w:spacing w:val="-8"/>
        </w:rPr>
        <w:t xml:space="preserve"> </w:t>
      </w:r>
      <w:r>
        <w:t>of</w:t>
      </w:r>
      <w:r>
        <w:rPr>
          <w:spacing w:val="-7"/>
        </w:rPr>
        <w:t xml:space="preserve"> </w:t>
      </w:r>
      <w:r>
        <w:t>Academic</w:t>
      </w:r>
      <w:r>
        <w:rPr>
          <w:spacing w:val="-9"/>
        </w:rPr>
        <w:t xml:space="preserve"> </w:t>
      </w:r>
      <w:r>
        <w:t>Progress</w:t>
      </w:r>
      <w:r>
        <w:rPr>
          <w:spacing w:val="-6"/>
        </w:rPr>
        <w:t xml:space="preserve"> </w:t>
      </w:r>
      <w:r>
        <w:t>process</w:t>
      </w:r>
      <w:r>
        <w:rPr>
          <w:spacing w:val="-9"/>
        </w:rPr>
        <w:t xml:space="preserve"> </w:t>
      </w:r>
      <w:r>
        <w:t>will</w:t>
      </w:r>
      <w:r>
        <w:rPr>
          <w:spacing w:val="-7"/>
        </w:rPr>
        <w:t xml:space="preserve"> </w:t>
      </w:r>
      <w:r>
        <w:t>be</w:t>
      </w:r>
      <w:r>
        <w:rPr>
          <w:spacing w:val="-6"/>
        </w:rPr>
        <w:t xml:space="preserve"> </w:t>
      </w:r>
      <w:r>
        <w:t>treated</w:t>
      </w:r>
      <w:r>
        <w:rPr>
          <w:spacing w:val="-7"/>
        </w:rPr>
        <w:t xml:space="preserve"> </w:t>
      </w:r>
      <w:r>
        <w:t>as</w:t>
      </w:r>
      <w:r>
        <w:rPr>
          <w:spacing w:val="-7"/>
        </w:rPr>
        <w:t xml:space="preserve"> </w:t>
      </w:r>
      <w:r>
        <w:t>confidential</w:t>
      </w:r>
      <w:r>
        <w:rPr>
          <w:spacing w:val="-9"/>
        </w:rPr>
        <w:t xml:space="preserve"> </w:t>
      </w:r>
      <w:r>
        <w:t>business to</w:t>
      </w:r>
      <w:r>
        <w:rPr>
          <w:spacing w:val="-8"/>
        </w:rPr>
        <w:t xml:space="preserve"> </w:t>
      </w:r>
      <w:r>
        <w:t>the</w:t>
      </w:r>
      <w:r>
        <w:rPr>
          <w:spacing w:val="-11"/>
        </w:rPr>
        <w:t xml:space="preserve"> </w:t>
      </w:r>
      <w:r>
        <w:t>Panel</w:t>
      </w:r>
      <w:r>
        <w:rPr>
          <w:spacing w:val="-12"/>
        </w:rPr>
        <w:t xml:space="preserve"> </w:t>
      </w:r>
      <w:r>
        <w:t>and</w:t>
      </w:r>
      <w:r>
        <w:rPr>
          <w:spacing w:val="-10"/>
        </w:rPr>
        <w:t xml:space="preserve"> </w:t>
      </w:r>
      <w:r>
        <w:t>will</w:t>
      </w:r>
      <w:r>
        <w:rPr>
          <w:spacing w:val="-9"/>
        </w:rPr>
        <w:t xml:space="preserve"> </w:t>
      </w:r>
      <w:r>
        <w:t>follow</w:t>
      </w:r>
      <w:r>
        <w:rPr>
          <w:spacing w:val="-11"/>
        </w:rPr>
        <w:t xml:space="preserve"> </w:t>
      </w:r>
      <w:r>
        <w:t>the</w:t>
      </w:r>
      <w:r>
        <w:rPr>
          <w:spacing w:val="-8"/>
        </w:rPr>
        <w:t xml:space="preserve"> </w:t>
      </w:r>
      <w:r>
        <w:t>University’s</w:t>
      </w:r>
      <w:r>
        <w:rPr>
          <w:spacing w:val="-9"/>
        </w:rPr>
        <w:t xml:space="preserve"> </w:t>
      </w:r>
      <w:r>
        <w:t>Privacy</w:t>
      </w:r>
      <w:r>
        <w:rPr>
          <w:spacing w:val="-8"/>
        </w:rPr>
        <w:t xml:space="preserve"> </w:t>
      </w:r>
      <w:r>
        <w:t>Policy.</w:t>
      </w:r>
      <w:r>
        <w:rPr>
          <w:spacing w:val="-10"/>
        </w:rPr>
        <w:t xml:space="preserve"> </w:t>
      </w:r>
      <w:r>
        <w:t>This</w:t>
      </w:r>
      <w:r>
        <w:rPr>
          <w:spacing w:val="-11"/>
        </w:rPr>
        <w:t xml:space="preserve"> </w:t>
      </w:r>
      <w:r>
        <w:t>means</w:t>
      </w:r>
      <w:r>
        <w:rPr>
          <w:spacing w:val="-9"/>
        </w:rPr>
        <w:t xml:space="preserve"> </w:t>
      </w:r>
      <w:r>
        <w:t>information</w:t>
      </w:r>
      <w:r>
        <w:rPr>
          <w:spacing w:val="-12"/>
        </w:rPr>
        <w:t xml:space="preserve"> </w:t>
      </w:r>
      <w:r>
        <w:t>or</w:t>
      </w:r>
      <w:r>
        <w:rPr>
          <w:spacing w:val="-9"/>
        </w:rPr>
        <w:t xml:space="preserve"> </w:t>
      </w:r>
      <w:r>
        <w:t>documentation</w:t>
      </w:r>
      <w:r>
        <w:rPr>
          <w:spacing w:val="-10"/>
        </w:rPr>
        <w:t xml:space="preserve"> </w:t>
      </w:r>
      <w:r>
        <w:t>submitted</w:t>
      </w:r>
      <w:r>
        <w:rPr>
          <w:spacing w:val="-10"/>
        </w:rPr>
        <w:t xml:space="preserve"> </w:t>
      </w:r>
      <w:r>
        <w:t>to</w:t>
      </w:r>
      <w:r>
        <w:rPr>
          <w:spacing w:val="-8"/>
        </w:rPr>
        <w:t xml:space="preserve"> </w:t>
      </w:r>
      <w:r>
        <w:t>the Panel for review will only be made available to a person who</w:t>
      </w:r>
      <w:r>
        <w:rPr>
          <w:spacing w:val="-6"/>
        </w:rPr>
        <w:t xml:space="preserve"> </w:t>
      </w:r>
      <w:r>
        <w:t>is:</w:t>
      </w:r>
    </w:p>
    <w:p w14:paraId="64A5E7BA" w14:textId="77777777" w:rsidR="00F53795" w:rsidRDefault="00FA4901">
      <w:pPr>
        <w:pStyle w:val="ListParagraph"/>
        <w:numPr>
          <w:ilvl w:val="0"/>
          <w:numId w:val="2"/>
        </w:numPr>
        <w:tabs>
          <w:tab w:val="left" w:pos="833"/>
          <w:tab w:val="left" w:pos="834"/>
        </w:tabs>
        <w:spacing w:before="61"/>
        <w:ind w:left="833" w:hanging="355"/>
      </w:pPr>
      <w:r>
        <w:t>a formal member of the</w:t>
      </w:r>
      <w:r>
        <w:rPr>
          <w:spacing w:val="-8"/>
        </w:rPr>
        <w:t xml:space="preserve"> </w:t>
      </w:r>
      <w:r>
        <w:t>Panel;</w:t>
      </w:r>
    </w:p>
    <w:p w14:paraId="4BB7B831" w14:textId="77777777" w:rsidR="00F53795" w:rsidRDefault="00FA4901">
      <w:pPr>
        <w:pStyle w:val="ListParagraph"/>
        <w:numPr>
          <w:ilvl w:val="0"/>
          <w:numId w:val="2"/>
        </w:numPr>
        <w:tabs>
          <w:tab w:val="left" w:pos="833"/>
          <w:tab w:val="left" w:pos="834"/>
        </w:tabs>
        <w:spacing w:before="58"/>
        <w:ind w:left="833" w:hanging="355"/>
      </w:pPr>
      <w:r>
        <w:t>Executive Officer to the</w:t>
      </w:r>
      <w:r>
        <w:rPr>
          <w:spacing w:val="-6"/>
        </w:rPr>
        <w:t xml:space="preserve"> </w:t>
      </w:r>
      <w:r>
        <w:t>Panel;</w:t>
      </w:r>
    </w:p>
    <w:p w14:paraId="6221FFAC" w14:textId="77777777" w:rsidR="00F53795" w:rsidRDefault="00FA4901">
      <w:pPr>
        <w:pStyle w:val="ListParagraph"/>
        <w:numPr>
          <w:ilvl w:val="0"/>
          <w:numId w:val="2"/>
        </w:numPr>
        <w:tabs>
          <w:tab w:val="left" w:pos="833"/>
          <w:tab w:val="left" w:pos="834"/>
        </w:tabs>
        <w:spacing w:before="61"/>
        <w:ind w:left="833" w:hanging="355"/>
      </w:pPr>
      <w:r>
        <w:t>the student, or their nominated representative at the meeting;</w:t>
      </w:r>
      <w:r>
        <w:rPr>
          <w:spacing w:val="-7"/>
        </w:rPr>
        <w:t xml:space="preserve"> </w:t>
      </w:r>
      <w:r>
        <w:t>and</w:t>
      </w:r>
    </w:p>
    <w:p w14:paraId="4D5A5B73" w14:textId="024CA19A" w:rsidR="00F53795" w:rsidRDefault="00FA4901">
      <w:pPr>
        <w:pStyle w:val="ListParagraph"/>
        <w:numPr>
          <w:ilvl w:val="0"/>
          <w:numId w:val="2"/>
        </w:numPr>
        <w:tabs>
          <w:tab w:val="left" w:pos="833"/>
          <w:tab w:val="left" w:pos="834"/>
        </w:tabs>
        <w:spacing w:before="60"/>
        <w:ind w:left="833" w:right="119" w:hanging="355"/>
      </w:pPr>
      <w:r>
        <w:t xml:space="preserve">the Academic Unit’s representative(s) at the meeting. This may include the Dean of Research (or delegate), </w:t>
      </w:r>
      <w:r w:rsidR="00A83FA7">
        <w:t>RDC</w:t>
      </w:r>
      <w:r>
        <w:t>, and/or principal</w:t>
      </w:r>
      <w:r>
        <w:rPr>
          <w:spacing w:val="-10"/>
        </w:rPr>
        <w:t xml:space="preserve"> </w:t>
      </w:r>
      <w:r>
        <w:t>supervisor.</w:t>
      </w:r>
    </w:p>
    <w:p w14:paraId="1E732F2F" w14:textId="77777777" w:rsidR="00F53795" w:rsidRDefault="00F53795">
      <w:pPr>
        <w:pStyle w:val="BodyText"/>
      </w:pPr>
    </w:p>
    <w:p w14:paraId="43E5E0D6" w14:textId="77777777" w:rsidR="00F53795" w:rsidRDefault="00FA4901">
      <w:pPr>
        <w:pStyle w:val="BodyText"/>
        <w:spacing w:before="1"/>
        <w:ind w:left="120"/>
      </w:pPr>
      <w:r>
        <w:t>Meeting documentation will be retained in the student’s central record, by Student and Academic Services.</w:t>
      </w:r>
    </w:p>
    <w:p w14:paraId="64EF4583" w14:textId="77777777" w:rsidR="00F53795" w:rsidRDefault="00F53795">
      <w:pPr>
        <w:pStyle w:val="BodyText"/>
        <w:spacing w:before="10"/>
        <w:rPr>
          <w:sz w:val="21"/>
        </w:rPr>
      </w:pPr>
    </w:p>
    <w:p w14:paraId="4A4A8F47" w14:textId="77777777" w:rsidR="00F53795" w:rsidRDefault="00FA4901">
      <w:pPr>
        <w:pStyle w:val="Heading2"/>
      </w:pPr>
      <w:r>
        <w:t>STAY IN TOUCH</w:t>
      </w:r>
    </w:p>
    <w:p w14:paraId="296764B8" w14:textId="77777777" w:rsidR="00F53795" w:rsidRDefault="00FA4901">
      <w:pPr>
        <w:pStyle w:val="BodyText"/>
        <w:ind w:left="120" w:right="113"/>
        <w:jc w:val="both"/>
      </w:pPr>
      <w:r>
        <w:t>Correspondence in the appeals process will be sent to your registered details in the student administration system. Need</w:t>
      </w:r>
      <w:r>
        <w:rPr>
          <w:spacing w:val="-11"/>
        </w:rPr>
        <w:t xml:space="preserve"> </w:t>
      </w:r>
      <w:r>
        <w:t>to</w:t>
      </w:r>
      <w:r>
        <w:rPr>
          <w:spacing w:val="-12"/>
        </w:rPr>
        <w:t xml:space="preserve"> </w:t>
      </w:r>
      <w:r>
        <w:t>make</w:t>
      </w:r>
      <w:r>
        <w:rPr>
          <w:spacing w:val="-10"/>
        </w:rPr>
        <w:t xml:space="preserve"> </w:t>
      </w:r>
      <w:r>
        <w:t>an</w:t>
      </w:r>
      <w:r>
        <w:rPr>
          <w:spacing w:val="-11"/>
        </w:rPr>
        <w:t xml:space="preserve"> </w:t>
      </w:r>
      <w:r>
        <w:t>update</w:t>
      </w:r>
      <w:r>
        <w:rPr>
          <w:spacing w:val="-10"/>
        </w:rPr>
        <w:t xml:space="preserve"> </w:t>
      </w:r>
      <w:r>
        <w:t>to</w:t>
      </w:r>
      <w:r>
        <w:rPr>
          <w:spacing w:val="-12"/>
        </w:rPr>
        <w:t xml:space="preserve"> </w:t>
      </w:r>
      <w:r>
        <w:t>your</w:t>
      </w:r>
      <w:r>
        <w:rPr>
          <w:spacing w:val="-11"/>
        </w:rPr>
        <w:t xml:space="preserve"> </w:t>
      </w:r>
      <w:r>
        <w:t>contact</w:t>
      </w:r>
      <w:r>
        <w:rPr>
          <w:spacing w:val="-10"/>
        </w:rPr>
        <w:t xml:space="preserve"> </w:t>
      </w:r>
      <w:r>
        <w:t>information</w:t>
      </w:r>
      <w:r>
        <w:rPr>
          <w:spacing w:val="-11"/>
        </w:rPr>
        <w:t xml:space="preserve"> </w:t>
      </w:r>
      <w:r>
        <w:t>or</w:t>
      </w:r>
      <w:r>
        <w:rPr>
          <w:spacing w:val="-11"/>
        </w:rPr>
        <w:t xml:space="preserve"> </w:t>
      </w:r>
      <w:r>
        <w:t>personal</w:t>
      </w:r>
      <w:r>
        <w:rPr>
          <w:spacing w:val="-11"/>
        </w:rPr>
        <w:t xml:space="preserve"> </w:t>
      </w:r>
      <w:r>
        <w:t>details?</w:t>
      </w:r>
      <w:r>
        <w:rPr>
          <w:spacing w:val="-10"/>
        </w:rPr>
        <w:t xml:space="preserve"> </w:t>
      </w:r>
      <w:r>
        <w:t>Complete</w:t>
      </w:r>
      <w:r>
        <w:rPr>
          <w:spacing w:val="-10"/>
        </w:rPr>
        <w:t xml:space="preserve"> </w:t>
      </w:r>
      <w:r>
        <w:t>and</w:t>
      </w:r>
      <w:r>
        <w:rPr>
          <w:spacing w:val="-11"/>
        </w:rPr>
        <w:t xml:space="preserve"> </w:t>
      </w:r>
      <w:r>
        <w:t>submit</w:t>
      </w:r>
      <w:r>
        <w:rPr>
          <w:spacing w:val="-10"/>
        </w:rPr>
        <w:t xml:space="preserve"> </w:t>
      </w:r>
      <w:r>
        <w:t>the</w:t>
      </w:r>
      <w:r>
        <w:rPr>
          <w:spacing w:val="-11"/>
        </w:rPr>
        <w:t xml:space="preserve"> </w:t>
      </w:r>
      <w:r>
        <w:t>change</w:t>
      </w:r>
      <w:r>
        <w:rPr>
          <w:spacing w:val="-12"/>
        </w:rPr>
        <w:t xml:space="preserve"> </w:t>
      </w:r>
      <w:r>
        <w:t>of</w:t>
      </w:r>
      <w:r>
        <w:rPr>
          <w:spacing w:val="-13"/>
        </w:rPr>
        <w:t xml:space="preserve"> </w:t>
      </w:r>
      <w:r>
        <w:t>personal details form available at</w:t>
      </w:r>
      <w:r>
        <w:rPr>
          <w:spacing w:val="-5"/>
        </w:rPr>
        <w:t xml:space="preserve"> </w:t>
      </w:r>
      <w:hyperlink r:id="rId10">
        <w:r>
          <w:rPr>
            <w:color w:val="0000FF"/>
            <w:u w:val="single" w:color="0000FF"/>
          </w:rPr>
          <w:t>https://i.unisa.edu.au/students/research-students/student-forms/</w:t>
        </w:r>
      </w:hyperlink>
      <w:r>
        <w:t>.</w:t>
      </w:r>
    </w:p>
    <w:p w14:paraId="7E8FBD15" w14:textId="77777777" w:rsidR="00F53795" w:rsidRDefault="00F53795">
      <w:pPr>
        <w:pStyle w:val="BodyText"/>
        <w:spacing w:before="7"/>
        <w:rPr>
          <w:sz w:val="17"/>
        </w:rPr>
      </w:pPr>
    </w:p>
    <w:p w14:paraId="6B55D174" w14:textId="77777777" w:rsidR="00F53795" w:rsidRDefault="00FA4901">
      <w:pPr>
        <w:pStyle w:val="Heading2"/>
        <w:spacing w:before="56"/>
      </w:pPr>
      <w:r>
        <w:t>QUESTIONS &amp; CONTACTS</w:t>
      </w:r>
    </w:p>
    <w:p w14:paraId="56512EAC" w14:textId="3F18CE6F" w:rsidR="00F53795" w:rsidRPr="00FA4901" w:rsidRDefault="00FA4901" w:rsidP="00FA4901">
      <w:pPr>
        <w:pStyle w:val="BodyText"/>
        <w:ind w:left="119" w:right="30"/>
        <w:rPr>
          <w:color w:val="0000FF"/>
          <w:u w:val="single" w:color="0000FF"/>
        </w:rPr>
      </w:pPr>
      <w:r>
        <w:t xml:space="preserve">Questions on the Formal Review of Academic Progress process, documentation, timelines or meeting may be directed </w:t>
      </w:r>
      <w:r w:rsidR="00A83FA7">
        <w:t>the Scholarships and Candidature team via</w:t>
      </w:r>
      <w:r>
        <w:t xml:space="preserve"> </w:t>
      </w:r>
      <w:hyperlink r:id="rId11" w:history="1">
        <w:r w:rsidRPr="00FA4901">
          <w:rPr>
            <w:color w:val="0000FF"/>
            <w:u w:val="single" w:color="0000FF"/>
          </w:rPr>
          <w:t>research.students@unisa.edu.au</w:t>
        </w:r>
      </w:hyperlink>
      <w:r w:rsidRPr="00FA4901">
        <w:rPr>
          <w:color w:val="0000FF"/>
          <w:u w:val="single" w:color="0000FF"/>
        </w:rPr>
        <w:t>.</w:t>
      </w:r>
    </w:p>
    <w:sectPr w:rsidR="00F53795" w:rsidRPr="00FA4901">
      <w:pgSz w:w="11910" w:h="16840"/>
      <w:pgMar w:top="120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A66F1"/>
    <w:multiLevelType w:val="hybridMultilevel"/>
    <w:tmpl w:val="DD76BC40"/>
    <w:lvl w:ilvl="0" w:tplc="96F2681A">
      <w:start w:val="1"/>
      <w:numFmt w:val="decimal"/>
      <w:lvlText w:val="%1."/>
      <w:lvlJc w:val="left"/>
      <w:pPr>
        <w:ind w:left="840" w:hanging="361"/>
        <w:jc w:val="left"/>
      </w:pPr>
      <w:rPr>
        <w:rFonts w:ascii="Calibri" w:eastAsia="Calibri" w:hAnsi="Calibri" w:cs="Calibri" w:hint="default"/>
        <w:w w:val="100"/>
        <w:sz w:val="22"/>
        <w:szCs w:val="22"/>
      </w:rPr>
    </w:lvl>
    <w:lvl w:ilvl="1" w:tplc="2F8C779E">
      <w:numFmt w:val="bullet"/>
      <w:lvlText w:val="•"/>
      <w:lvlJc w:val="left"/>
      <w:pPr>
        <w:ind w:left="1826" w:hanging="361"/>
      </w:pPr>
      <w:rPr>
        <w:rFonts w:hint="default"/>
      </w:rPr>
    </w:lvl>
    <w:lvl w:ilvl="2" w:tplc="559C9B9A">
      <w:numFmt w:val="bullet"/>
      <w:lvlText w:val="•"/>
      <w:lvlJc w:val="left"/>
      <w:pPr>
        <w:ind w:left="2813" w:hanging="361"/>
      </w:pPr>
      <w:rPr>
        <w:rFonts w:hint="default"/>
      </w:rPr>
    </w:lvl>
    <w:lvl w:ilvl="3" w:tplc="F02EB362">
      <w:numFmt w:val="bullet"/>
      <w:lvlText w:val="•"/>
      <w:lvlJc w:val="left"/>
      <w:pPr>
        <w:ind w:left="3799" w:hanging="361"/>
      </w:pPr>
      <w:rPr>
        <w:rFonts w:hint="default"/>
      </w:rPr>
    </w:lvl>
    <w:lvl w:ilvl="4" w:tplc="5E9A94BC">
      <w:numFmt w:val="bullet"/>
      <w:lvlText w:val="•"/>
      <w:lvlJc w:val="left"/>
      <w:pPr>
        <w:ind w:left="4786" w:hanging="361"/>
      </w:pPr>
      <w:rPr>
        <w:rFonts w:hint="default"/>
      </w:rPr>
    </w:lvl>
    <w:lvl w:ilvl="5" w:tplc="999A4852">
      <w:numFmt w:val="bullet"/>
      <w:lvlText w:val="•"/>
      <w:lvlJc w:val="left"/>
      <w:pPr>
        <w:ind w:left="5773" w:hanging="361"/>
      </w:pPr>
      <w:rPr>
        <w:rFonts w:hint="default"/>
      </w:rPr>
    </w:lvl>
    <w:lvl w:ilvl="6" w:tplc="CBC4BF3C">
      <w:numFmt w:val="bullet"/>
      <w:lvlText w:val="•"/>
      <w:lvlJc w:val="left"/>
      <w:pPr>
        <w:ind w:left="6759" w:hanging="361"/>
      </w:pPr>
      <w:rPr>
        <w:rFonts w:hint="default"/>
      </w:rPr>
    </w:lvl>
    <w:lvl w:ilvl="7" w:tplc="DEC4A87C">
      <w:numFmt w:val="bullet"/>
      <w:lvlText w:val="•"/>
      <w:lvlJc w:val="left"/>
      <w:pPr>
        <w:ind w:left="7746" w:hanging="361"/>
      </w:pPr>
      <w:rPr>
        <w:rFonts w:hint="default"/>
      </w:rPr>
    </w:lvl>
    <w:lvl w:ilvl="8" w:tplc="1E02B704">
      <w:numFmt w:val="bullet"/>
      <w:lvlText w:val="•"/>
      <w:lvlJc w:val="left"/>
      <w:pPr>
        <w:ind w:left="8733" w:hanging="361"/>
      </w:pPr>
      <w:rPr>
        <w:rFonts w:hint="default"/>
      </w:rPr>
    </w:lvl>
  </w:abstractNum>
  <w:abstractNum w:abstractNumId="1" w15:restartNumberingAfterBreak="0">
    <w:nsid w:val="59B41453"/>
    <w:multiLevelType w:val="hybridMultilevel"/>
    <w:tmpl w:val="DFA2F664"/>
    <w:lvl w:ilvl="0" w:tplc="E5DA96D8">
      <w:numFmt w:val="bullet"/>
      <w:lvlText w:val=""/>
      <w:lvlJc w:val="left"/>
      <w:pPr>
        <w:ind w:left="832" w:hanging="356"/>
      </w:pPr>
      <w:rPr>
        <w:rFonts w:ascii="Symbol" w:eastAsia="Symbol" w:hAnsi="Symbol" w:cs="Symbol" w:hint="default"/>
        <w:w w:val="100"/>
        <w:sz w:val="22"/>
        <w:szCs w:val="22"/>
      </w:rPr>
    </w:lvl>
    <w:lvl w:ilvl="1" w:tplc="407E9896">
      <w:numFmt w:val="bullet"/>
      <w:lvlText w:val="•"/>
      <w:lvlJc w:val="left"/>
      <w:pPr>
        <w:ind w:left="1826" w:hanging="356"/>
      </w:pPr>
      <w:rPr>
        <w:rFonts w:hint="default"/>
      </w:rPr>
    </w:lvl>
    <w:lvl w:ilvl="2" w:tplc="22A44B06">
      <w:numFmt w:val="bullet"/>
      <w:lvlText w:val="•"/>
      <w:lvlJc w:val="left"/>
      <w:pPr>
        <w:ind w:left="2813" w:hanging="356"/>
      </w:pPr>
      <w:rPr>
        <w:rFonts w:hint="default"/>
      </w:rPr>
    </w:lvl>
    <w:lvl w:ilvl="3" w:tplc="74CA0356">
      <w:numFmt w:val="bullet"/>
      <w:lvlText w:val="•"/>
      <w:lvlJc w:val="left"/>
      <w:pPr>
        <w:ind w:left="3799" w:hanging="356"/>
      </w:pPr>
      <w:rPr>
        <w:rFonts w:hint="default"/>
      </w:rPr>
    </w:lvl>
    <w:lvl w:ilvl="4" w:tplc="5614BBB0">
      <w:numFmt w:val="bullet"/>
      <w:lvlText w:val="•"/>
      <w:lvlJc w:val="left"/>
      <w:pPr>
        <w:ind w:left="4786" w:hanging="356"/>
      </w:pPr>
      <w:rPr>
        <w:rFonts w:hint="default"/>
      </w:rPr>
    </w:lvl>
    <w:lvl w:ilvl="5" w:tplc="05D03D94">
      <w:numFmt w:val="bullet"/>
      <w:lvlText w:val="•"/>
      <w:lvlJc w:val="left"/>
      <w:pPr>
        <w:ind w:left="5773" w:hanging="356"/>
      </w:pPr>
      <w:rPr>
        <w:rFonts w:hint="default"/>
      </w:rPr>
    </w:lvl>
    <w:lvl w:ilvl="6" w:tplc="AC6E9C52">
      <w:numFmt w:val="bullet"/>
      <w:lvlText w:val="•"/>
      <w:lvlJc w:val="left"/>
      <w:pPr>
        <w:ind w:left="6759" w:hanging="356"/>
      </w:pPr>
      <w:rPr>
        <w:rFonts w:hint="default"/>
      </w:rPr>
    </w:lvl>
    <w:lvl w:ilvl="7" w:tplc="A4D045E2">
      <w:numFmt w:val="bullet"/>
      <w:lvlText w:val="•"/>
      <w:lvlJc w:val="left"/>
      <w:pPr>
        <w:ind w:left="7746" w:hanging="356"/>
      </w:pPr>
      <w:rPr>
        <w:rFonts w:hint="default"/>
      </w:rPr>
    </w:lvl>
    <w:lvl w:ilvl="8" w:tplc="79CC0EE8">
      <w:numFmt w:val="bullet"/>
      <w:lvlText w:val="•"/>
      <w:lvlJc w:val="left"/>
      <w:pPr>
        <w:ind w:left="8733" w:hanging="35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95"/>
    <w:rsid w:val="003719E1"/>
    <w:rsid w:val="00A83FA7"/>
    <w:rsid w:val="00F53795"/>
    <w:rsid w:val="00FA4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00DC"/>
  <w15:docId w15:val="{1632DD39-D9A5-4C24-BE65-36D5463A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1" w:lineRule="exact"/>
      <w:ind w:left="897"/>
      <w:outlineLvl w:val="0"/>
    </w:pPr>
    <w:rPr>
      <w:b/>
      <w:bCs/>
      <w:sz w:val="28"/>
      <w:szCs w:val="28"/>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2" w:hanging="35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A4901"/>
    <w:rPr>
      <w:color w:val="0563C1"/>
      <w:u w:val="single"/>
    </w:rPr>
  </w:style>
  <w:style w:type="character" w:styleId="UnresolvedMention">
    <w:name w:val="Unresolved Mention"/>
    <w:basedOn w:val="DefaultParagraphFont"/>
    <w:uiPriority w:val="99"/>
    <w:semiHidden/>
    <w:unhideWhenUsed/>
    <w:rsid w:val="00A83FA7"/>
    <w:rPr>
      <w:color w:val="605E5C"/>
      <w:shd w:val="clear" w:color="auto" w:fill="E1DFDD"/>
    </w:rPr>
  </w:style>
  <w:style w:type="paragraph" w:styleId="BalloonText">
    <w:name w:val="Balloon Text"/>
    <w:basedOn w:val="Normal"/>
    <w:link w:val="BalloonTextChar"/>
    <w:uiPriority w:val="99"/>
    <w:semiHidden/>
    <w:unhideWhenUsed/>
    <w:rsid w:val="00A83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FA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7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asa.sa.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asa.sa.edu.au/advoc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unisa.edu.au/policies-and-procedures/university-policies/research/res-10-regulations/" TargetMode="External"/><Relationship Id="rId11" Type="http://schemas.openxmlformats.org/officeDocument/2006/relationships/hyperlink" Target="mailto:research.students@unisa.edu.au" TargetMode="External"/><Relationship Id="rId5" Type="http://schemas.openxmlformats.org/officeDocument/2006/relationships/image" Target="media/image1.png"/><Relationship Id="rId10" Type="http://schemas.openxmlformats.org/officeDocument/2006/relationships/hyperlink" Target="https://i.unisa.edu.au/students/research-students/student-forms/" TargetMode="External"/><Relationship Id="rId4" Type="http://schemas.openxmlformats.org/officeDocument/2006/relationships/webSettings" Target="webSettings.xml"/><Relationship Id="rId9" Type="http://schemas.openxmlformats.org/officeDocument/2006/relationships/hyperlink" Target="mailto:research.students@unisa.edu.a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 Haubrich</dc:creator>
  <cp:lastModifiedBy>Kelly Martin (GRC)</cp:lastModifiedBy>
  <cp:revision>3</cp:revision>
  <dcterms:created xsi:type="dcterms:W3CDTF">2021-03-02T05:23:00Z</dcterms:created>
  <dcterms:modified xsi:type="dcterms:W3CDTF">2021-03-02T05:30:00Z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2020-10-22T00:00:00Z</vt:filetime>
  </property>
  <property fmtid="{D5CDD505-2E9C-101B-9397-08002B2CF9AE}" pid="3" name="Creator">
    <vt:lpwstr>Adobe Acrobat Pro DC 20.9.20067</vt:lpwstr>
  </property>
  <property fmtid="{D5CDD505-2E9C-101B-9397-08002B2CF9AE}" pid="4" name="LastSaved">
    <vt:filetime>2020-12-10T00:00:00Z</vt:filetime>
  </property>
</Properties>
</file>